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B8" w:rsidRDefault="00035135" w:rsidP="006B72B8">
      <w:pPr>
        <w:spacing w:after="0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</w:pPr>
      <w:r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  <w:t>Прилог</w:t>
      </w:r>
      <w:r w:rsidR="006B72B8" w:rsidRPr="006B72B8"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  <w:t xml:space="preserve"> 1</w:t>
      </w:r>
      <w:r w:rsidR="006C10DA"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  <w:t>.</w:t>
      </w:r>
    </w:p>
    <w:p w:rsidR="006B72B8" w:rsidRPr="006B72B8" w:rsidRDefault="006B72B8" w:rsidP="006B72B8">
      <w:pPr>
        <w:spacing w:after="0" w:line="240" w:lineRule="auto"/>
        <w:outlineLvl w:val="3"/>
        <w:rPr>
          <w:rFonts w:ascii="Verdana" w:eastAsia="Times New Roman" w:hAnsi="Verdana" w:cs="Times New Roman"/>
          <w:bCs/>
          <w:sz w:val="24"/>
          <w:szCs w:val="24"/>
          <w:u w:val="single"/>
          <w:lang w:eastAsia="bs-Latn-BA"/>
        </w:rPr>
      </w:pPr>
    </w:p>
    <w:p w:rsidR="006B72B8" w:rsidRDefault="00035135" w:rsidP="006B72B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Назив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административног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поступка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: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Регистрација</w:t>
      </w:r>
      <w:r w:rsidR="006B72B8" w:rsidRPr="00784436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лица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 w:rsidR="00434ED4">
        <w:rPr>
          <w:rFonts w:ascii="Verdana" w:eastAsia="Times New Roman" w:hAnsi="Verdana" w:cs="Times New Roman"/>
          <w:b/>
          <w:bCs/>
          <w:sz w:val="24"/>
          <w:szCs w:val="24"/>
          <w:lang w:val="sr-Cyrl-BA" w:eastAsia="bs-Latn-BA"/>
        </w:rPr>
        <w:t>спољнотрговинског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промета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оружја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,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војне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опреме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и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роба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посебне</w:t>
      </w:r>
      <w:r w:rsidR="006B72B8"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 xml:space="preserve"> 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  <w:t>намјене</w:t>
      </w:r>
    </w:p>
    <w:p w:rsidR="006B72B8" w:rsidRPr="00784436" w:rsidRDefault="006B72B8" w:rsidP="006B72B8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sz w:val="24"/>
          <w:szCs w:val="24"/>
          <w:lang w:eastAsia="bs-Latn-BA"/>
        </w:rPr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0"/>
        <w:gridCol w:w="7514"/>
      </w:tblGrid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Већа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организациона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јединица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Сектор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434ED4">
              <w:rPr>
                <w:rFonts w:ascii="Verdana" w:eastAsia="Times New Roman" w:hAnsi="Verdana" w:cs="Times New Roman"/>
                <w:sz w:val="16"/>
                <w:szCs w:val="16"/>
                <w:lang w:val="sr-Cyrl-BA" w:eastAsia="bs-Latn-BA"/>
              </w:rPr>
              <w:t>спољнотрговинску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политику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и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страна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улагања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5F5F5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Мања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организациона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јединица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Одсјек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контролу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434ED4">
              <w:rPr>
                <w:rFonts w:ascii="Verdana" w:eastAsia="Times New Roman" w:hAnsi="Verdana" w:cs="Times New Roman"/>
                <w:sz w:val="16"/>
                <w:szCs w:val="16"/>
                <w:lang w:val="sr-Cyrl-BA" w:eastAsia="bs-Latn-BA"/>
              </w:rPr>
              <w:t>спољнотрговинског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промета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стратешких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роба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Дјелатност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(</w:t>
            </w:r>
            <w:r w:rsidR="00434ED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i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)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6B72B8" w:rsidRDefault="00434ED4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sr-Cyrl-BA" w:eastAsia="bs-Latn-BA"/>
              </w:rPr>
              <w:t>Спољна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035135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трговина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5F5F5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Контакт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подаци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надлежног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службеника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5"/>
            </w:tblGrid>
            <w:tr w:rsidR="006B72B8" w:rsidRPr="006B72B8" w:rsidTr="00C043D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Радомир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Стевановић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, </w:t>
                  </w:r>
                  <w:r w:rsidR="00F818DF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тручни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савјетник</w:t>
                  </w:r>
                </w:p>
              </w:tc>
            </w:tr>
            <w:tr w:rsidR="006B72B8" w:rsidRPr="006B72B8" w:rsidTr="00C043D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Тел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033/223-180</w:t>
                  </w:r>
                </w:p>
              </w:tc>
            </w:tr>
            <w:tr w:rsidR="006B72B8" w:rsidRPr="006B72B8" w:rsidTr="00C043D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-</w:t>
                  </w:r>
                  <w:r w:rsidR="00434ED4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mail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hyperlink r:id="rId6" w:history="1">
                    <w:r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радомир</w:t>
                    </w:r>
                    <w:r w:rsidR="006B72B8" w:rsidRPr="006B72B8"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.</w:t>
                    </w:r>
                    <w:r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стевановиц</w:t>
                    </w:r>
                    <w:r w:rsidR="006B72B8" w:rsidRPr="006B72B8"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@</w:t>
                    </w:r>
                    <w:r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мвтео</w:t>
                    </w:r>
                    <w:r w:rsidR="006B72B8" w:rsidRPr="006B72B8"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.</w:t>
                    </w:r>
                    <w:r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гов</w:t>
                    </w:r>
                    <w:r w:rsidR="006B72B8" w:rsidRPr="006B72B8"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.</w:t>
                    </w:r>
                    <w:r>
                      <w:rPr>
                        <w:rStyle w:val="Hyperlink"/>
                        <w:rFonts w:ascii="Verdana" w:eastAsia="Times New Roman" w:hAnsi="Verdana" w:cs="Times New Roman"/>
                        <w:sz w:val="16"/>
                        <w:szCs w:val="16"/>
                        <w:lang w:eastAsia="bs-Latn-BA"/>
                      </w:rPr>
                      <w:t>ба</w:t>
                    </w:r>
                  </w:hyperlink>
                </w:p>
              </w:tc>
            </w:tr>
          </w:tbl>
          <w:p w:rsidR="006B72B8" w:rsidRPr="006B72B8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</w:p>
        </w:tc>
      </w:tr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Сврха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административног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поступка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6B72B8" w:rsidRDefault="00035135" w:rsidP="00C043D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Остваривање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права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подношење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захтјева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издавање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исправа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434ED4">
              <w:rPr>
                <w:rFonts w:ascii="Verdana" w:eastAsia="Times New Roman" w:hAnsi="Verdana" w:cs="Times New Roman"/>
                <w:sz w:val="16"/>
                <w:szCs w:val="16"/>
                <w:lang w:val="sr-Cyrl-BA" w:eastAsia="bs-Latn-BA"/>
              </w:rPr>
              <w:t>спољнотрговински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промет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оружја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војне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опреме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и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роба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посебне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намјене</w:t>
            </w:r>
          </w:p>
          <w:p w:rsidR="006B72B8" w:rsidRPr="006B72B8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  <w:r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5F5F5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Правни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основ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административног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поступка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255B96" w:rsidRDefault="00035135" w:rsidP="0025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NewRoman,Bold"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Закон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о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контроли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434ED4">
              <w:rPr>
                <w:rFonts w:ascii="Verdana" w:eastAsia="Times New Roman" w:hAnsi="Verdana" w:cs="Times New Roman"/>
                <w:sz w:val="16"/>
                <w:szCs w:val="16"/>
                <w:lang w:val="sr-Cyrl-BA" w:eastAsia="bs-Latn-BA"/>
              </w:rPr>
              <w:t>спољнотрговинског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промета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оружја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војне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опреме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и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роба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посебне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намјене</w:t>
            </w:r>
            <w:r w:rsid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 w:rsidR="00255B96" w:rsidRP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("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Службени</w:t>
            </w:r>
            <w:r w:rsidR="00255B96" w:rsidRP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гласник</w:t>
            </w:r>
            <w:r w:rsidR="00255B96" w:rsidRP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БиХ</w:t>
            </w:r>
            <w:r w:rsidR="00255B96" w:rsidRP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",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бр</w:t>
            </w:r>
            <w:r w:rsidR="00255B96" w:rsidRPr="00255B96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>. 53/16)</w:t>
            </w:r>
            <w:r w:rsidR="006B72B8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,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Правилник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о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вођењу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регистра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лица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 w:rsidR="0042730A">
              <w:rPr>
                <w:rFonts w:ascii="Verdana" w:eastAsia="Times New Roman" w:hAnsi="Verdana" w:cs="Times New Roman"/>
                <w:sz w:val="16"/>
                <w:szCs w:val="16"/>
                <w:lang w:val="sr-Cyrl-BA" w:eastAsia="bs-Latn-BA"/>
              </w:rPr>
              <w:t>спољнотрговинског</w:t>
            </w:r>
            <w:r w:rsidR="0042730A" w:rsidRPr="006B72B8"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промета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оружја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,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војне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опреме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и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робе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посебне</w:t>
            </w:r>
            <w:r w:rsidR="006B72B8" w:rsidRPr="006B72B8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намјене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 w:rsidR="00255B96" w:rsidRPr="00255B96">
              <w:rPr>
                <w:rFonts w:ascii="Verdana" w:hAnsi="Verdana" w:cs="TimesNewRoman,Bold"/>
                <w:bCs/>
                <w:sz w:val="16"/>
                <w:szCs w:val="16"/>
              </w:rPr>
              <w:t>("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Службени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гласник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БиХ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 xml:space="preserve">", </w:t>
            </w:r>
            <w:r>
              <w:rPr>
                <w:rFonts w:ascii="Verdana" w:hAnsi="Verdana" w:cs="TimesNewRoman,Bold"/>
                <w:bCs/>
                <w:sz w:val="16"/>
                <w:szCs w:val="16"/>
              </w:rPr>
              <w:t>бр</w:t>
            </w:r>
            <w:r w:rsidR="00255B96">
              <w:rPr>
                <w:rFonts w:ascii="Verdana" w:hAnsi="Verdana" w:cs="TimesNewRoman,Bold"/>
                <w:bCs/>
                <w:sz w:val="16"/>
                <w:szCs w:val="16"/>
              </w:rPr>
              <w:t>. 68/17).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Такса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/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накнада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коју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је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потребно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уплатити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1244"/>
              <w:gridCol w:w="4266"/>
              <w:gridCol w:w="788"/>
            </w:tblGrid>
            <w:tr w:rsidR="006B72B8" w:rsidRPr="006B72B8" w:rsidTr="00C043D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Назив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таксе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/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накнаде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Износ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таксе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/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накнаде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(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КМ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42730A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val="sr-Cyrl-BA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Број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рачуна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за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уплату</w:t>
                  </w:r>
                  <w:r w:rsidR="0042730A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val="sr-Cyrl-BA"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Позив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на</w:t>
                  </w:r>
                  <w:r w:rsidR="006B72B8" w:rsidRPr="006B72B8"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број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Та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виших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власти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6B72B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корист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ЈРТ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ТРЕЗОР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БиХ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ДЕПОЗИТНИ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РАЧУН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3380002210018390 (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Unicredit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banka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d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d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Mostar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5517902220404858 (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Unicredit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banka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d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Banja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Luka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5556000031201417(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Нова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банка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Бања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Лука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5620128137723339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НЛБ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Банка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Бања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Лука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врста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прихода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722101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Буџетска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организација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0801999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уписати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матичне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сједишта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фирме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</w:p>
                <w:p w:rsidR="006B72B8" w:rsidRPr="006B72B8" w:rsidRDefault="006B72B8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1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Та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кс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виших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власти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6B72B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корист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ЈРТ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ТРЕЗОР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БиХ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ДЕПОЗИТНИ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РАЧУН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3380002210018390 (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Unicredit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banka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d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d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Mostar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5517902220404858 (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Unicredit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banka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d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Banja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Luka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5556000031201417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Нова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банка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Бања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Лука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Ж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: 5620128137723339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НЛБ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Банка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.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.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Бања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Лука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) </w:t>
                  </w:r>
                </w:p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врста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прихода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722103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Буџетска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организација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0801999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: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уписати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матичне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оп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шт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сједишта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(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фирме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3</w:t>
                  </w:r>
                </w:p>
              </w:tc>
            </w:tr>
          </w:tbl>
          <w:p w:rsidR="006B72B8" w:rsidRPr="006B72B8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</w:p>
        </w:tc>
      </w:tr>
      <w:tr w:rsidR="006B72B8" w:rsidRPr="00784436" w:rsidTr="00C043D5">
        <w:tc>
          <w:tcPr>
            <w:tcW w:w="0" w:type="auto"/>
            <w:shd w:val="clear" w:color="auto" w:fill="F5F5F5"/>
            <w:hideMark/>
          </w:tcPr>
          <w:p w:rsidR="006B72B8" w:rsidRPr="006B72B8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Потребне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информације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при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предавању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>захтјева</w:t>
            </w:r>
            <w:r w:rsidR="006B72B8" w:rsidRPr="006B72B8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6B72B8" w:rsidRPr="006B72B8" w:rsidTr="00C043D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bs-Latn-BA"/>
                    </w:rPr>
                    <w:t>Информација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Предмет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Назив</w:t>
                  </w:r>
                  <w:r w:rsidR="00ED25E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правног</w:t>
                  </w:r>
                  <w:r w:rsidR="00ED25E6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лица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Адреса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правног</w:t>
                  </w:r>
                  <w:r w:rsidR="0047593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лица</w:t>
                  </w:r>
                  <w:r w:rsidR="0047593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подносиоца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захтјева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42730A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презиме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одговорн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42730A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Функција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одговорн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телефона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Број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фа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-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mail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адреса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презиме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овлаш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ћ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ен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спољнотрговински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промет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Функција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овлаш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ћ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ен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за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спољнотрговински</w:t>
                  </w:r>
                  <w:r w:rsidR="0042730A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промет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42730A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презиме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овлаш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ћ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ен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Функција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овлашћеног</w:t>
                  </w:r>
                  <w:r w:rsidR="0042730A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</w:p>
              </w:tc>
            </w:tr>
            <w:tr w:rsidR="006B72B8" w:rsidRPr="006B72B8" w:rsidTr="00C043D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42730A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Регистр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ована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дјелатност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правн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</w:p>
              </w:tc>
            </w:tr>
            <w:tr w:rsidR="006B72B8" w:rsidRPr="006B72B8" w:rsidTr="00C043D5">
              <w:trPr>
                <w:trHeight w:val="12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Напомена</w:t>
                  </w:r>
                </w:p>
              </w:tc>
            </w:tr>
            <w:tr w:rsidR="006B72B8" w:rsidRPr="006B72B8" w:rsidTr="006B72B8">
              <w:trPr>
                <w:trHeight w:val="2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42730A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Печат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потпис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овлашћеног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 w:rsidR="0042730A">
                    <w:rPr>
                      <w:rFonts w:ascii="Verdana" w:eastAsia="Times New Roman" w:hAnsi="Verdana" w:cs="Times New Roman"/>
                      <w:sz w:val="16"/>
                      <w:szCs w:val="16"/>
                      <w:lang w:val="sr-Cyrl-BA" w:eastAsia="bs-Latn-BA"/>
                    </w:rPr>
                    <w:t>лица</w:t>
                  </w:r>
                </w:p>
              </w:tc>
            </w:tr>
          </w:tbl>
          <w:p w:rsidR="006B72B8" w:rsidRPr="006B72B8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bs-Latn-BA"/>
              </w:rPr>
            </w:pPr>
          </w:p>
        </w:tc>
      </w:tr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784436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Документација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7"/>
              <w:gridCol w:w="2337"/>
              <w:gridCol w:w="834"/>
              <w:gridCol w:w="1400"/>
            </w:tblGrid>
            <w:tr w:rsidR="006B72B8" w:rsidRPr="00784436" w:rsidTr="006B72B8">
              <w:tc>
                <w:tcPr>
                  <w:tcW w:w="29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Документ</w:t>
                  </w:r>
                </w:p>
              </w:tc>
              <w:tc>
                <w:tcPr>
                  <w:tcW w:w="23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Назив</w:t>
                  </w:r>
                  <w:r w:rsidR="006B72B8"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институције</w:t>
                  </w:r>
                  <w:r w:rsidR="006B72B8"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која</w:t>
                  </w:r>
                  <w:r w:rsidR="006B72B8"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издаје</w:t>
                  </w:r>
                  <w:r w:rsidR="006B72B8"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документ</w:t>
                  </w:r>
                </w:p>
              </w:tc>
              <w:tc>
                <w:tcPr>
                  <w:tcW w:w="7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Форма</w:t>
                  </w:r>
                  <w:r w:rsidR="006B72B8" w:rsidRPr="00784436"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доставе</w:t>
                  </w:r>
                </w:p>
              </w:tc>
              <w:tc>
                <w:tcPr>
                  <w:tcW w:w="1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6B72B8" w:rsidRPr="00784436" w:rsidRDefault="00035135" w:rsidP="00C043D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5"/>
                      <w:szCs w:val="15"/>
                      <w:lang w:eastAsia="bs-Latn-BA"/>
                    </w:rPr>
                    <w:t>Коментар</w:t>
                  </w:r>
                </w:p>
              </w:tc>
            </w:tr>
            <w:tr w:rsidR="006B72B8" w:rsidRPr="00784436" w:rsidTr="006B72B8"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lastRenderedPageBreak/>
                    <w:t>Потврда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уплати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таксе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пошта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/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банка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Овјерена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копија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  <w:tr w:rsidR="006B72B8" w:rsidRPr="00784436" w:rsidTr="006B72B8">
              <w:trPr>
                <w:trHeight w:val="149"/>
              </w:trPr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Рјешење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упису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судски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регистар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за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правна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лица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,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односно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други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одговарајући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доказ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оснивању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регистрацији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дјелатности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за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управне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организације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саставу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органа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управе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;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Суд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Овјерена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копија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  <w:tr w:rsidR="006B72B8" w:rsidRPr="00784436" w:rsidTr="006B72B8"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Доказ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упису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Јединствени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регистар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обвезника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индиректних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пореза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;</w:t>
                  </w: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УИО</w:t>
                  </w: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Овјерена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копија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  <w:tr w:rsidR="006B72B8" w:rsidRPr="00784436" w:rsidTr="006B72B8">
              <w:tc>
                <w:tcPr>
                  <w:tcW w:w="2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Сагласност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надлежног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ентитетског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органа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,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надлежног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кантоналног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органа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или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надлежног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органа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Брчко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 w:rsidR="0042730A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д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истрикта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Босне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Херцеговине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то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:</w:t>
                  </w:r>
                </w:p>
                <w:p w:rsidR="006B72B8" w:rsidRPr="006B72B8" w:rsidRDefault="006B72B8" w:rsidP="00C043D5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1)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за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42730A">
                    <w:rPr>
                      <w:rFonts w:ascii="Verdana" w:hAnsi="Verdana"/>
                      <w:sz w:val="16"/>
                      <w:szCs w:val="16"/>
                      <w:lang w:val="sr-Cyrl-BA"/>
                    </w:rPr>
                    <w:t>спољнотрговински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промет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оружја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војне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опреме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,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сагласност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надлежног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ентитетског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министарства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или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органа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Брчко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 w:rsidR="0042730A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д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истрикта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Босне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Херцеговине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 w:eastAsia="bs-Latn-BA"/>
                    </w:rPr>
                    <w:t>.</w:t>
                  </w:r>
                </w:p>
                <w:p w:rsidR="006B72B8" w:rsidRPr="006B72B8" w:rsidRDefault="006B72B8" w:rsidP="00C043D5">
                  <w:pPr>
                    <w:spacing w:after="0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2)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за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42730A">
                    <w:rPr>
                      <w:rFonts w:ascii="Verdana" w:hAnsi="Verdana"/>
                      <w:sz w:val="16"/>
                      <w:szCs w:val="16"/>
                      <w:lang w:val="sr-Cyrl-BA"/>
                    </w:rPr>
                    <w:t>спољнотрговински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промет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роба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посебне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намјене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,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сагласност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надлежног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органа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министарства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унутрашњих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послова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ентитета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,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кантона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или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Брчко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42730A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д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истрикта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БиХ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,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када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је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обавеза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прибављања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сагласности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прописана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посебним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законом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ентитета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,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кантона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или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Брчко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42730A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д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истрикта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Босне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Херцеговине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. </w:t>
                  </w:r>
                </w:p>
                <w:p w:rsidR="006B72B8" w:rsidRPr="006B72B8" w:rsidRDefault="006B72B8" w:rsidP="00C043D5">
                  <w:pPr>
                    <w:pStyle w:val="NoSpacing"/>
                    <w:jc w:val="both"/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</w:pP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3)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сагласност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из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алинеје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2)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ове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тачке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није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потребна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за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правна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лица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која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већ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имају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сагласност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прописану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алинејом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1)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ове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тачке</w:t>
                  </w:r>
                  <w:r w:rsidRPr="006B72B8">
                    <w:rPr>
                      <w:rFonts w:ascii="Verdana" w:hAnsi="Verdana"/>
                      <w:sz w:val="16"/>
                      <w:szCs w:val="16"/>
                      <w:lang w:val="sr-Latn-RS"/>
                    </w:rPr>
                    <w:t>.</w:t>
                  </w:r>
                </w:p>
                <w:p w:rsidR="006B72B8" w:rsidRPr="006B72B8" w:rsidRDefault="006B72B8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</w:p>
              </w:tc>
              <w:tc>
                <w:tcPr>
                  <w:tcW w:w="23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42730A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r-Cyrl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Федерација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БиХ</w:t>
                  </w:r>
                </w:p>
                <w:p w:rsidR="006B72B8" w:rsidRPr="006B72B8" w:rsidRDefault="0042730A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sr-Cyrl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Оружје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војна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опрема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- </w:t>
                  </w:r>
                  <w:r>
                    <w:rPr>
                      <w:rFonts w:ascii="Verdana" w:hAnsi="Verdana"/>
                      <w:sz w:val="16"/>
                      <w:szCs w:val="16"/>
                      <w:lang w:val="sr-Cyrl-BA"/>
                    </w:rPr>
                    <w:t xml:space="preserve">  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Федерално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министарство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енергије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,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рударства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 w:rsidR="00035135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индустрије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Роба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посебне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намјене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-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Федерално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министарство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унутрашњих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послова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–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екс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.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материјали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,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Кантонални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МУП</w:t>
                  </w:r>
                </w:p>
                <w:p w:rsidR="006B72B8" w:rsidRPr="006B72B8" w:rsidRDefault="00035135" w:rsidP="006B72B8">
                  <w:pPr>
                    <w:spacing w:after="0"/>
                    <w:ind w:left="1020" w:hanging="102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Република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Српска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Оружје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војна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опрема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– 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Министарство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трговине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туризма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РС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Роба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посебне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намјене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–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Министарство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унутрашњих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послова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РС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Дистрикт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Брчко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Оружје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и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војна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опрема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– 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Влада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Дискрит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Брчко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Роба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посебне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намјене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–</w:t>
                  </w:r>
                </w:p>
                <w:p w:rsidR="006B72B8" w:rsidRPr="006B72B8" w:rsidRDefault="00035135" w:rsidP="006B72B8">
                  <w:pPr>
                    <w:spacing w:after="0"/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МУП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Дискрит</w:t>
                  </w:r>
                  <w:r w:rsidR="006B72B8" w:rsidRPr="006B72B8"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  <w:lang w:val="bs-Latn-BA"/>
                    </w:rPr>
                    <w:t>Брчко</w:t>
                  </w:r>
                </w:p>
                <w:p w:rsidR="006B72B8" w:rsidRPr="006B72B8" w:rsidRDefault="006B72B8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035135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Оригинал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или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овјерена</w:t>
                  </w:r>
                  <w:r w:rsidR="006B72B8"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копија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72B8" w:rsidRPr="006B72B8" w:rsidRDefault="006B72B8" w:rsidP="00C043D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</w:pPr>
                  <w:r w:rsidRPr="006B72B8">
                    <w:rPr>
                      <w:rFonts w:ascii="Verdana" w:eastAsia="Times New Roman" w:hAnsi="Verdana" w:cs="Times New Roman"/>
                      <w:sz w:val="16"/>
                      <w:szCs w:val="16"/>
                      <w:lang w:eastAsia="bs-Latn-BA"/>
                    </w:rPr>
                    <w:t> </w:t>
                  </w:r>
                </w:p>
              </w:tc>
            </w:tr>
          </w:tbl>
          <w:p w:rsidR="006B72B8" w:rsidRPr="00784436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</w:p>
        </w:tc>
      </w:tr>
      <w:tr w:rsidR="006B72B8" w:rsidRPr="00784436" w:rsidTr="00C043D5">
        <w:tc>
          <w:tcPr>
            <w:tcW w:w="0" w:type="auto"/>
            <w:shd w:val="clear" w:color="auto" w:fill="F5F5F5"/>
            <w:hideMark/>
          </w:tcPr>
          <w:p w:rsidR="006B72B8" w:rsidRPr="00784436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lastRenderedPageBreak/>
              <w:t>Рок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за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рјешавање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потпуног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предмета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дани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784436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15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784436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Обав</w:t>
            </w:r>
            <w:r w:rsidR="00764849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ештење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784436" w:rsidRDefault="006B72B8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</w:p>
        </w:tc>
      </w:tr>
      <w:tr w:rsidR="006B72B8" w:rsidRPr="00784436" w:rsidTr="00C043D5">
        <w:tc>
          <w:tcPr>
            <w:tcW w:w="0" w:type="auto"/>
            <w:shd w:val="clear" w:color="auto" w:fill="F5F5F5"/>
            <w:hideMark/>
          </w:tcPr>
          <w:p w:rsidR="006B72B8" w:rsidRPr="00784436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Вријеме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важења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одлуке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по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захтјеву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дани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) 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6B72B8" w:rsidRPr="00784436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>Стална</w:t>
            </w:r>
            <w:r w:rsidR="006B72B8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</w:p>
        </w:tc>
      </w:tr>
      <w:tr w:rsidR="006B72B8" w:rsidRPr="00784436" w:rsidTr="00C043D5">
        <w:tc>
          <w:tcPr>
            <w:tcW w:w="0" w:type="auto"/>
            <w:shd w:val="clear" w:color="auto" w:fill="FFFFFF"/>
            <w:hideMark/>
          </w:tcPr>
          <w:p w:rsidR="006B72B8" w:rsidRPr="00784436" w:rsidRDefault="00035135" w:rsidP="00C043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Преузимање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обрасца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>захтјева</w:t>
            </w:r>
            <w:r w:rsidR="006B72B8" w:rsidRPr="0078443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bs-Latn-BA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2B8" w:rsidRPr="00784436" w:rsidRDefault="000568C1" w:rsidP="00C043D5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</w:pPr>
            <w:hyperlink r:id="rId7" w:history="1">
              <w:r w:rsidR="0003513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>Преузимање</w:t>
              </w:r>
              <w:r w:rsidR="006B72B8" w:rsidRPr="0078443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 xml:space="preserve"> </w:t>
              </w:r>
              <w:r w:rsidR="0003513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>обрасца</w:t>
              </w:r>
              <w:r w:rsidR="006B72B8" w:rsidRPr="00784436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 xml:space="preserve"> </w:t>
              </w:r>
              <w:r w:rsidR="00035135">
                <w:rPr>
                  <w:rFonts w:ascii="Verdana" w:eastAsia="Times New Roman" w:hAnsi="Verdana" w:cs="Times New Roman"/>
                  <w:color w:val="0000FF"/>
                  <w:sz w:val="15"/>
                  <w:szCs w:val="15"/>
                  <w:u w:val="single"/>
                  <w:lang w:eastAsia="bs-Latn-BA"/>
                </w:rPr>
                <w:t>захтјева</w:t>
              </w:r>
            </w:hyperlink>
            <w:r w:rsidR="006B72B8" w:rsidRPr="00784436">
              <w:rPr>
                <w:rFonts w:ascii="Verdana" w:eastAsia="Times New Roman" w:hAnsi="Verdana" w:cs="Times New Roman"/>
                <w:sz w:val="15"/>
                <w:szCs w:val="15"/>
                <w:lang w:eastAsia="bs-Latn-BA"/>
              </w:rPr>
              <w:t xml:space="preserve"> </w:t>
            </w:r>
          </w:p>
        </w:tc>
      </w:tr>
    </w:tbl>
    <w:p w:rsidR="006B72B8" w:rsidRDefault="006B72B8" w:rsidP="006B72B8"/>
    <w:p w:rsidR="006B72B8" w:rsidRDefault="006B72B8" w:rsidP="006B72B8"/>
    <w:p w:rsidR="006B4A7A" w:rsidRDefault="006B4A7A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/>
    <w:p w:rsidR="006B72B8" w:rsidRDefault="006B72B8">
      <w:bookmarkStart w:id="0" w:name="_GoBack"/>
      <w:bookmarkEnd w:id="0"/>
    </w:p>
    <w:sectPr w:rsidR="006B72B8" w:rsidSect="006B72B8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C1" w:rsidRDefault="000568C1" w:rsidP="00035135">
      <w:pPr>
        <w:spacing w:after="0" w:line="240" w:lineRule="auto"/>
      </w:pPr>
      <w:r>
        <w:separator/>
      </w:r>
    </w:p>
  </w:endnote>
  <w:endnote w:type="continuationSeparator" w:id="0">
    <w:p w:rsidR="000568C1" w:rsidRDefault="000568C1" w:rsidP="000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C1" w:rsidRDefault="000568C1" w:rsidP="00035135">
      <w:pPr>
        <w:spacing w:after="0" w:line="240" w:lineRule="auto"/>
      </w:pPr>
      <w:r>
        <w:separator/>
      </w:r>
    </w:p>
  </w:footnote>
  <w:footnote w:type="continuationSeparator" w:id="0">
    <w:p w:rsidR="000568C1" w:rsidRDefault="000568C1" w:rsidP="00035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B8"/>
    <w:rsid w:val="00035135"/>
    <w:rsid w:val="000568C1"/>
    <w:rsid w:val="00097C83"/>
    <w:rsid w:val="00255B96"/>
    <w:rsid w:val="0038284C"/>
    <w:rsid w:val="003D0A2D"/>
    <w:rsid w:val="0042730A"/>
    <w:rsid w:val="00434ED4"/>
    <w:rsid w:val="00475938"/>
    <w:rsid w:val="004B4A18"/>
    <w:rsid w:val="006B4A7A"/>
    <w:rsid w:val="006B72B8"/>
    <w:rsid w:val="006C10DA"/>
    <w:rsid w:val="007005EB"/>
    <w:rsid w:val="00764849"/>
    <w:rsid w:val="008730F0"/>
    <w:rsid w:val="00A379C4"/>
    <w:rsid w:val="00B87AA6"/>
    <w:rsid w:val="00BC2780"/>
    <w:rsid w:val="00BD3A64"/>
    <w:rsid w:val="00C043D5"/>
    <w:rsid w:val="00ED25E6"/>
    <w:rsid w:val="00EE37B8"/>
    <w:rsid w:val="00F05C2A"/>
    <w:rsid w:val="00F7491F"/>
    <w:rsid w:val="00F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A4E96"/>
  <w15:chartTrackingRefBased/>
  <w15:docId w15:val="{356A619A-FE67-4581-B7B2-8AFF9E20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B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2B8"/>
    <w:rPr>
      <w:color w:val="0563C1" w:themeColor="hyperlink"/>
      <w:u w:val="single"/>
    </w:rPr>
  </w:style>
  <w:style w:type="paragraph" w:styleId="NoSpacing">
    <w:name w:val="No Spacing"/>
    <w:link w:val="NoSpacingChar"/>
    <w:qFormat/>
    <w:rsid w:val="006B72B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6B72B8"/>
  </w:style>
  <w:style w:type="table" w:styleId="TableGrid">
    <w:name w:val="Table Grid"/>
    <w:basedOn w:val="TableNormal"/>
    <w:uiPriority w:val="39"/>
    <w:rsid w:val="0038284C"/>
    <w:pPr>
      <w:spacing w:after="0" w:line="240" w:lineRule="auto"/>
    </w:pPr>
    <w:rPr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4C"/>
    <w:rPr>
      <w:rFonts w:ascii="Segoe UI" w:hAnsi="Segoe UI" w:cs="Segoe UI"/>
      <w:sz w:val="18"/>
      <w:szCs w:val="18"/>
      <w:lang w:val="hr-BA"/>
    </w:rPr>
  </w:style>
  <w:style w:type="paragraph" w:styleId="Header">
    <w:name w:val="header"/>
    <w:basedOn w:val="Normal"/>
    <w:link w:val="HeaderChar"/>
    <w:uiPriority w:val="99"/>
    <w:unhideWhenUsed/>
    <w:rsid w:val="000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135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3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135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ap.mvteo.gov.ba/obrasci/MOFTER-STR-01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omir.stevanovic@mvteo.gov.b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2017-11-20T13:30:00Z</cp:lastPrinted>
  <dcterms:created xsi:type="dcterms:W3CDTF">2018-04-16T12:22:00Z</dcterms:created>
  <dcterms:modified xsi:type="dcterms:W3CDTF">2018-04-16T13:07:00Z</dcterms:modified>
</cp:coreProperties>
</file>